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7BDE4" w14:textId="742FEEEE" w:rsidR="008E5AD3" w:rsidRPr="000430E3" w:rsidRDefault="002634AF" w:rsidP="000430E3">
      <w:pPr>
        <w:jc w:val="center"/>
        <w:rPr>
          <w:b/>
          <w:bCs/>
          <w:sz w:val="28"/>
          <w:szCs w:val="28"/>
        </w:rPr>
      </w:pPr>
      <w:r w:rsidRPr="000430E3">
        <w:rPr>
          <w:b/>
          <w:bCs/>
          <w:sz w:val="28"/>
          <w:szCs w:val="28"/>
        </w:rPr>
        <w:t>AISI M2</w:t>
      </w:r>
    </w:p>
    <w:p w14:paraId="6DEE1CD7" w14:textId="62D55206" w:rsidR="002634AF" w:rsidRDefault="002634AF"/>
    <w:p w14:paraId="2CB89C01" w14:textId="676498EF" w:rsidR="002634AF" w:rsidRPr="000430E3" w:rsidRDefault="002634AF">
      <w:pPr>
        <w:rPr>
          <w:b/>
          <w:bCs/>
          <w:sz w:val="24"/>
          <w:szCs w:val="24"/>
        </w:rPr>
      </w:pPr>
      <w:r w:rsidRPr="000430E3">
        <w:rPr>
          <w:b/>
          <w:bCs/>
          <w:sz w:val="24"/>
          <w:szCs w:val="24"/>
        </w:rPr>
        <w:t>High Speed Steel</w:t>
      </w:r>
    </w:p>
    <w:p w14:paraId="194C019C" w14:textId="7B2CD7E7" w:rsidR="002634AF" w:rsidRPr="000430E3" w:rsidRDefault="002634AF">
      <w:pPr>
        <w:rPr>
          <w:b/>
          <w:bCs/>
        </w:rPr>
      </w:pPr>
      <w:r w:rsidRPr="000430E3">
        <w:rPr>
          <w:b/>
          <w:bCs/>
        </w:rPr>
        <w:t>Typical Analysis</w:t>
      </w:r>
    </w:p>
    <w:p w14:paraId="0263A711" w14:textId="018F0FFA" w:rsidR="002634AF" w:rsidRDefault="002634AF">
      <w:r>
        <w:t>Carbon 0.85; Chromium 4.15; Molybdenum 5.00; Tungsten 6.40; Vanadium 2.00</w:t>
      </w:r>
    </w:p>
    <w:p w14:paraId="6864A918" w14:textId="78B7F9E9" w:rsidR="002634AF" w:rsidRDefault="002634AF"/>
    <w:p w14:paraId="44FB5AD4" w14:textId="393E8058" w:rsidR="002634AF" w:rsidRPr="000430E3" w:rsidRDefault="002634AF">
      <w:pPr>
        <w:rPr>
          <w:b/>
          <w:bCs/>
        </w:rPr>
      </w:pPr>
      <w:r w:rsidRPr="000430E3">
        <w:rPr>
          <w:b/>
          <w:bCs/>
        </w:rPr>
        <w:t>Advantages</w:t>
      </w:r>
    </w:p>
    <w:p w14:paraId="2DCE937A" w14:textId="6F7FA17D" w:rsidR="002634AF" w:rsidRDefault="002634AF">
      <w:r>
        <w:t>Very high red hardness</w:t>
      </w:r>
    </w:p>
    <w:p w14:paraId="0E63341F" w14:textId="193D542E" w:rsidR="002634AF" w:rsidRDefault="002634AF">
      <w:r>
        <w:t>High hardening response</w:t>
      </w:r>
    </w:p>
    <w:p w14:paraId="60D317C4" w14:textId="5EA67884" w:rsidR="002634AF" w:rsidRDefault="002634AF">
      <w:r>
        <w:t>Outstanding wear resistance</w:t>
      </w:r>
    </w:p>
    <w:p w14:paraId="336A5478" w14:textId="11374462" w:rsidR="002634AF" w:rsidRDefault="002634AF"/>
    <w:p w14:paraId="10470D57" w14:textId="6AE1A20A" w:rsidR="002634AF" w:rsidRPr="000430E3" w:rsidRDefault="002634AF">
      <w:pPr>
        <w:rPr>
          <w:b/>
          <w:bCs/>
        </w:rPr>
      </w:pPr>
      <w:r w:rsidRPr="000430E3">
        <w:rPr>
          <w:b/>
          <w:bCs/>
        </w:rPr>
        <w:t>Applications</w:t>
      </w:r>
    </w:p>
    <w:p w14:paraId="6D12576F" w14:textId="68EA8512" w:rsidR="002634AF" w:rsidRDefault="002634AF">
      <w:r>
        <w:t>AISI M2 is the most widely used high speed steel for general purpose cutting applications.  At relatively high working hardness, this grade has an optimum combination of wear resistance and toughness making it desirable for noncutting applications beyond the capability of conventional die steels.  AISI M2 has better retention of fine grain over a hardening range than other molybdenum high speed steels.</w:t>
      </w:r>
    </w:p>
    <w:p w14:paraId="07FFF3C9" w14:textId="19A1A341" w:rsidR="002634AF" w:rsidRDefault="002634AF">
      <w:r>
        <w:t>Typical cutting tools made from AISI M2 include drills, end mills, milling and form cutters, gear cutters, reamers, broaches and wood working tools.  In the noncutting tool area, AISI M2 has been used for cold heading inserts and punches, blanking and forming punches and dies, and cold forming rolls.</w:t>
      </w:r>
    </w:p>
    <w:p w14:paraId="6900BFB0" w14:textId="5CC6C34A" w:rsidR="002634AF" w:rsidRDefault="002634AF"/>
    <w:p w14:paraId="503ECD7E" w14:textId="0BE17783" w:rsidR="002634AF" w:rsidRPr="000430E3" w:rsidRDefault="002634AF">
      <w:pPr>
        <w:rPr>
          <w:b/>
          <w:bCs/>
        </w:rPr>
      </w:pPr>
      <w:r w:rsidRPr="000430E3">
        <w:rPr>
          <w:b/>
          <w:bCs/>
        </w:rPr>
        <w:t>Thermal Treatment Summary</w:t>
      </w:r>
    </w:p>
    <w:p w14:paraId="63B28C05" w14:textId="6BEC55F7" w:rsidR="002634AF" w:rsidRPr="000430E3" w:rsidRDefault="002634AF">
      <w:pPr>
        <w:rPr>
          <w:b/>
          <w:bCs/>
        </w:rPr>
      </w:pPr>
      <w:r w:rsidRPr="000430E3">
        <w:rPr>
          <w:b/>
          <w:bCs/>
        </w:rPr>
        <w:t>Critical Points</w:t>
      </w:r>
    </w:p>
    <w:p w14:paraId="64AAD39F" w14:textId="5A50EF8B" w:rsidR="002634AF" w:rsidRDefault="002634AF">
      <w:r>
        <w:t xml:space="preserve">   Heating (Ac) - 100</w:t>
      </w:r>
      <w:r>
        <w:rPr>
          <w:rFonts w:cs="Arial"/>
        </w:rPr>
        <w:t>⁰</w:t>
      </w:r>
      <w:r>
        <w:t>F/Hr. – begins 1526</w:t>
      </w:r>
      <w:r>
        <w:rPr>
          <w:rFonts w:cs="Arial"/>
        </w:rPr>
        <w:t>⁰</w:t>
      </w:r>
      <w:r>
        <w:t>F, ends 1580</w:t>
      </w:r>
      <w:r>
        <w:rPr>
          <w:rFonts w:cs="Arial"/>
        </w:rPr>
        <w:t>⁰</w:t>
      </w:r>
      <w:r>
        <w:t>F</w:t>
      </w:r>
    </w:p>
    <w:p w14:paraId="6E02927E" w14:textId="37871056" w:rsidR="002634AF" w:rsidRDefault="002634AF">
      <w:r>
        <w:t xml:space="preserve">   Cooling (Ar) - 50</w:t>
      </w:r>
      <w:r>
        <w:rPr>
          <w:rFonts w:cs="Arial"/>
        </w:rPr>
        <w:t>⁰</w:t>
      </w:r>
      <w:r>
        <w:t>F/Hr. – begins 1434</w:t>
      </w:r>
      <w:r>
        <w:rPr>
          <w:rFonts w:cs="Arial"/>
        </w:rPr>
        <w:t>⁰</w:t>
      </w:r>
      <w:r>
        <w:t>F, ends 1390</w:t>
      </w:r>
      <w:r>
        <w:rPr>
          <w:rFonts w:cs="Arial"/>
        </w:rPr>
        <w:t>⁰</w:t>
      </w:r>
      <w:r>
        <w:t>F</w:t>
      </w:r>
    </w:p>
    <w:p w14:paraId="538A976C" w14:textId="25B77173" w:rsidR="002634AF" w:rsidRDefault="002634AF">
      <w:r w:rsidRPr="000430E3">
        <w:rPr>
          <w:b/>
          <w:bCs/>
        </w:rPr>
        <w:t>Forging</w:t>
      </w:r>
      <w:r>
        <w:t xml:space="preserve"> – 2000 to 2100</w:t>
      </w:r>
      <w:r>
        <w:rPr>
          <w:rFonts w:cs="Arial"/>
        </w:rPr>
        <w:t>⁰</w:t>
      </w:r>
      <w:r>
        <w:t>F, stop at 1700</w:t>
      </w:r>
      <w:r>
        <w:rPr>
          <w:rFonts w:cs="Arial"/>
        </w:rPr>
        <w:t>⁰</w:t>
      </w:r>
      <w:r>
        <w:t>F, cool slowly</w:t>
      </w:r>
    </w:p>
    <w:p w14:paraId="09880194" w14:textId="19B1ABF0" w:rsidR="002634AF" w:rsidRDefault="002634AF">
      <w:r w:rsidRPr="000430E3">
        <w:rPr>
          <w:b/>
          <w:bCs/>
        </w:rPr>
        <w:t>Annealing</w:t>
      </w:r>
      <w:r>
        <w:t xml:space="preserve"> – 1550 to 1600</w:t>
      </w:r>
      <w:r>
        <w:rPr>
          <w:rFonts w:cs="Arial"/>
        </w:rPr>
        <w:t>⁰</w:t>
      </w:r>
      <w:r>
        <w:t>F, furnace cool, BHN 248 max</w:t>
      </w:r>
    </w:p>
    <w:p w14:paraId="501DC338" w14:textId="0C78F38A" w:rsidR="008014F8" w:rsidRDefault="008014F8">
      <w:r w:rsidRPr="000430E3">
        <w:rPr>
          <w:b/>
          <w:bCs/>
        </w:rPr>
        <w:t>Preheating</w:t>
      </w:r>
      <w:r>
        <w:t xml:space="preserve"> – 1500 to 1550</w:t>
      </w:r>
      <w:r>
        <w:rPr>
          <w:rFonts w:cs="Arial"/>
        </w:rPr>
        <w:t>⁰</w:t>
      </w:r>
      <w:r>
        <w:t>F, prior to hardening</w:t>
      </w:r>
    </w:p>
    <w:p w14:paraId="17239BCC" w14:textId="3040B8F3" w:rsidR="008014F8" w:rsidRDefault="008014F8">
      <w:r w:rsidRPr="000430E3">
        <w:rPr>
          <w:b/>
          <w:bCs/>
        </w:rPr>
        <w:t>Hardening</w:t>
      </w:r>
      <w:r>
        <w:t xml:space="preserve"> – 2150 to 2250</w:t>
      </w:r>
      <w:r>
        <w:rPr>
          <w:rFonts w:cs="Arial"/>
        </w:rPr>
        <w:t>⁰</w:t>
      </w:r>
      <w:r>
        <w:t>F, oil or air quench to 150</w:t>
      </w:r>
      <w:r>
        <w:rPr>
          <w:rFonts w:cs="Arial"/>
        </w:rPr>
        <w:t>⁰</w:t>
      </w:r>
      <w:r>
        <w:t>F</w:t>
      </w:r>
    </w:p>
    <w:p w14:paraId="3E0402A5" w14:textId="7465EC2B" w:rsidR="008014F8" w:rsidRDefault="008014F8">
      <w:r w:rsidRPr="000430E3">
        <w:rPr>
          <w:b/>
          <w:bCs/>
        </w:rPr>
        <w:t>Tempering</w:t>
      </w:r>
      <w:r>
        <w:t xml:space="preserve"> – 1000 to 1075</w:t>
      </w:r>
      <w:r>
        <w:rPr>
          <w:rFonts w:cs="Arial"/>
        </w:rPr>
        <w:t>⁰</w:t>
      </w:r>
      <w:r>
        <w:t>F</w:t>
      </w:r>
      <w:r w:rsidR="00E101B4">
        <w:t xml:space="preserve">  Rc 62-66</w:t>
      </w:r>
    </w:p>
    <w:p w14:paraId="05221F24" w14:textId="091162C0" w:rsidR="00E101B4" w:rsidRDefault="00E101B4"/>
    <w:p w14:paraId="7B061BD7" w14:textId="45ECCCFB" w:rsidR="00E101B4" w:rsidRPr="000430E3" w:rsidRDefault="00E101B4">
      <w:pPr>
        <w:rPr>
          <w:b/>
          <w:bCs/>
        </w:rPr>
      </w:pPr>
      <w:r w:rsidRPr="000430E3">
        <w:rPr>
          <w:b/>
          <w:bCs/>
        </w:rPr>
        <w:t>FABRICATION</w:t>
      </w:r>
    </w:p>
    <w:p w14:paraId="288083BD" w14:textId="50032C71" w:rsidR="00E101B4" w:rsidRPr="000430E3" w:rsidRDefault="00E101B4">
      <w:pPr>
        <w:rPr>
          <w:b/>
          <w:bCs/>
        </w:rPr>
      </w:pPr>
      <w:r w:rsidRPr="000430E3">
        <w:rPr>
          <w:b/>
          <w:bCs/>
        </w:rPr>
        <w:t>Forging</w:t>
      </w:r>
    </w:p>
    <w:p w14:paraId="24CCBDA0" w14:textId="444DED2C" w:rsidR="00E101B4" w:rsidRDefault="00E101B4">
      <w:r>
        <w:t>AISI M2 should be heated slowly to 1400 to 1500</w:t>
      </w:r>
      <w:r>
        <w:rPr>
          <w:rFonts w:cs="Arial"/>
        </w:rPr>
        <w:t>⁰</w:t>
      </w:r>
      <w:r>
        <w:t>F and then more rapidly to the forging temperature of 2000 to 2100</w:t>
      </w:r>
      <w:r>
        <w:rPr>
          <w:rFonts w:cs="Arial"/>
        </w:rPr>
        <w:t>⁰</w:t>
      </w:r>
      <w:r>
        <w:t>F.  Do not work below 1700</w:t>
      </w:r>
      <w:r>
        <w:rPr>
          <w:rFonts w:cs="Arial"/>
        </w:rPr>
        <w:t>⁰</w:t>
      </w:r>
      <w:r>
        <w:t>F.  Protective coatings are usually unnecessary, but powdered borax is sometimes sprinkled on the steel as it reaches a red heat.</w:t>
      </w:r>
    </w:p>
    <w:p w14:paraId="7C908C05" w14:textId="588DA1CA" w:rsidR="00E101B4" w:rsidRDefault="00E101B4">
      <w:r>
        <w:t>After forging, cool slowly out of drafts or contact with moisture.  Burying in such insulating materials as vermiculite, sand, lime or warm, dry ashes is desirable.  Always anneal after forging before hardening.</w:t>
      </w:r>
    </w:p>
    <w:p w14:paraId="4C84B972" w14:textId="1ACB15F2" w:rsidR="00E101B4" w:rsidRDefault="00E101B4"/>
    <w:p w14:paraId="7C159BFC" w14:textId="42E033BE" w:rsidR="00E101B4" w:rsidRPr="000430E3" w:rsidRDefault="00E101B4">
      <w:pPr>
        <w:rPr>
          <w:b/>
          <w:bCs/>
        </w:rPr>
      </w:pPr>
      <w:r w:rsidRPr="000430E3">
        <w:rPr>
          <w:b/>
          <w:bCs/>
        </w:rPr>
        <w:t>Annealing</w:t>
      </w:r>
    </w:p>
    <w:p w14:paraId="2E2DDDFD" w14:textId="4065C618" w:rsidR="00E101B4" w:rsidRDefault="00E101B4">
      <w:r>
        <w:t>For adequate protection against decarburization, AISI M2 should be annealed in a controlled atmosphere or vacuum furnace or pack annealed in a sealed container using a neutral packing compound.  Heat slowly and uniformly to 1150-1600</w:t>
      </w:r>
      <w:r>
        <w:rPr>
          <w:rFonts w:cs="Arial"/>
        </w:rPr>
        <w:t>⁰</w:t>
      </w:r>
      <w:r>
        <w:t>F, soak thoroughly, and furnace cool at a rate not exceeding 30</w:t>
      </w:r>
      <w:r>
        <w:rPr>
          <w:rFonts w:cs="Arial"/>
        </w:rPr>
        <w:t>⁰</w:t>
      </w:r>
      <w:r>
        <w:t>F per hour to about 1000</w:t>
      </w:r>
      <w:r>
        <w:rPr>
          <w:rFonts w:cs="Arial"/>
        </w:rPr>
        <w:t>⁰</w:t>
      </w:r>
      <w:r>
        <w:t>F.  The load may then be either cooled faster in the furnace or pulled and air cooled.</w:t>
      </w:r>
    </w:p>
    <w:p w14:paraId="1B6D4B0E" w14:textId="0D3E337F" w:rsidR="00E101B4" w:rsidRDefault="00E101B4">
      <w:r>
        <w:t>Resulting hardness from the above cycle should be Brinell 202-248.</w:t>
      </w:r>
    </w:p>
    <w:p w14:paraId="264A53EC" w14:textId="21E12BE3" w:rsidR="00E101B4" w:rsidRDefault="00E101B4">
      <w:r>
        <w:t>AISI M2 can be cycle (isothermal) annealed to machinable hardness by heating to 1600</w:t>
      </w:r>
      <w:r>
        <w:rPr>
          <w:rFonts w:cs="Arial"/>
        </w:rPr>
        <w:t>⁰</w:t>
      </w:r>
      <w:r>
        <w:t>F, holding for at least 2 hours, quickly cooking to 1400</w:t>
      </w:r>
      <w:r>
        <w:rPr>
          <w:rFonts w:cs="Arial"/>
        </w:rPr>
        <w:t>⁰</w:t>
      </w:r>
      <w:r>
        <w:t>F, holding at least 6 hours at temperature and air cooling.</w:t>
      </w:r>
    </w:p>
    <w:p w14:paraId="565D5CDC" w14:textId="56C04301" w:rsidR="00E101B4" w:rsidRDefault="00E101B4"/>
    <w:p w14:paraId="28D76A76" w14:textId="76AD1BD3" w:rsidR="00E101B4" w:rsidRPr="000430E3" w:rsidRDefault="00FA2436">
      <w:pPr>
        <w:rPr>
          <w:b/>
          <w:bCs/>
        </w:rPr>
      </w:pPr>
      <w:r w:rsidRPr="000430E3">
        <w:rPr>
          <w:b/>
          <w:bCs/>
        </w:rPr>
        <w:t>Machinability</w:t>
      </w:r>
    </w:p>
    <w:p w14:paraId="6A115281" w14:textId="229EC923" w:rsidR="00FA2436" w:rsidRDefault="00FA2436">
      <w:r>
        <w:t>The machinability of fully annealed AISI M2 is rated at 55 as compared to 1% carbon tool steel which is rated at 100.</w:t>
      </w:r>
    </w:p>
    <w:p w14:paraId="40971A08" w14:textId="7FCE8855" w:rsidR="00FA2436" w:rsidRDefault="00FA2436"/>
    <w:p w14:paraId="31512682" w14:textId="325776FD" w:rsidR="00FA2436" w:rsidRPr="000430E3" w:rsidRDefault="00FA2436">
      <w:pPr>
        <w:rPr>
          <w:b/>
          <w:bCs/>
        </w:rPr>
      </w:pPr>
      <w:r w:rsidRPr="000430E3">
        <w:rPr>
          <w:b/>
          <w:bCs/>
        </w:rPr>
        <w:t>Grindability</w:t>
      </w:r>
    </w:p>
    <w:p w14:paraId="607C9C94" w14:textId="607B6211" w:rsidR="00FA2436" w:rsidRDefault="00FA2436">
      <w:r>
        <w:t>AISI M2 has a relatively low grindability index, rated at 4.5* when hardened and tempered to full working hardness (Rc 64).</w:t>
      </w:r>
    </w:p>
    <w:p w14:paraId="786E1717" w14:textId="61B21BA1" w:rsidR="00FA2436" w:rsidRDefault="00FA2436" w:rsidP="00FA2436">
      <w:r>
        <w:t>* courtesy of Norton Company</w:t>
      </w:r>
    </w:p>
    <w:p w14:paraId="08DAEA73" w14:textId="70248AAA" w:rsidR="00FA2436" w:rsidRDefault="00FA2436" w:rsidP="00FA2436"/>
    <w:p w14:paraId="44E88661" w14:textId="2778235D" w:rsidR="00AB7352" w:rsidRDefault="00AB7352" w:rsidP="00FA2436"/>
    <w:p w14:paraId="46F15E62" w14:textId="34BEA6E6" w:rsidR="00AB7352" w:rsidRDefault="00AB7352" w:rsidP="00FA2436"/>
    <w:p w14:paraId="1115A278" w14:textId="06069211" w:rsidR="00AB7352" w:rsidRDefault="00AB7352" w:rsidP="00FA2436"/>
    <w:p w14:paraId="0F7E7781" w14:textId="3B94B871" w:rsidR="00FA2436" w:rsidRPr="000430E3" w:rsidRDefault="00FA2436" w:rsidP="00FA2436">
      <w:pPr>
        <w:rPr>
          <w:b/>
          <w:bCs/>
        </w:rPr>
      </w:pPr>
      <w:r w:rsidRPr="000430E3">
        <w:rPr>
          <w:b/>
          <w:bCs/>
        </w:rPr>
        <w:lastRenderedPageBreak/>
        <w:t>HEAT TREATMENT</w:t>
      </w:r>
    </w:p>
    <w:p w14:paraId="5374AC81" w14:textId="3C7911B1" w:rsidR="00FA2436" w:rsidRPr="000430E3" w:rsidRDefault="00FA2436" w:rsidP="00FA2436">
      <w:pPr>
        <w:rPr>
          <w:b/>
          <w:bCs/>
        </w:rPr>
      </w:pPr>
    </w:p>
    <w:p w14:paraId="0BA8984F" w14:textId="7D012884" w:rsidR="00FA2436" w:rsidRPr="000430E3" w:rsidRDefault="00FA2436" w:rsidP="00FA2436">
      <w:pPr>
        <w:rPr>
          <w:b/>
          <w:bCs/>
        </w:rPr>
      </w:pPr>
      <w:r w:rsidRPr="000430E3">
        <w:rPr>
          <w:b/>
          <w:bCs/>
        </w:rPr>
        <w:t>Hardening</w:t>
      </w:r>
    </w:p>
    <w:p w14:paraId="307C39D4" w14:textId="38EAD1A8" w:rsidR="00FA2436" w:rsidRDefault="00FA2436" w:rsidP="00FA2436">
      <w:r>
        <w:t>To harden these steels, first preheat slowly to 1500-1600</w:t>
      </w:r>
      <w:r>
        <w:rPr>
          <w:rFonts w:cs="Arial"/>
        </w:rPr>
        <w:t>⁰</w:t>
      </w:r>
      <w:r>
        <w:t>F.  Large sections may be given this preheat in 2 stages, first to 1100-1200</w:t>
      </w:r>
      <w:r>
        <w:rPr>
          <w:rFonts w:cs="Arial"/>
        </w:rPr>
        <w:t>⁰</w:t>
      </w:r>
      <w:r>
        <w:t>F and then on to 1500-1600</w:t>
      </w:r>
      <w:r>
        <w:rPr>
          <w:rFonts w:cs="Arial"/>
        </w:rPr>
        <w:t>⁰</w:t>
      </w:r>
      <w:r>
        <w:t>F.  After this initial slow heating, the temperature can be increased rapidly to the hardening range of 2150-2275</w:t>
      </w:r>
      <w:r>
        <w:rPr>
          <w:rFonts w:cs="Arial"/>
        </w:rPr>
        <w:t>⁰</w:t>
      </w:r>
      <w:r>
        <w:t>F.  Protective atmosphere, vacuum, or salt bath heat treating is necessary to prevent decarburization.</w:t>
      </w:r>
    </w:p>
    <w:p w14:paraId="2379F1C6" w14:textId="19254FA5" w:rsidR="00FA2436" w:rsidRDefault="008841CB" w:rsidP="00FA2436">
      <w:r>
        <w:t>Maximum toughness results from hardening at 2150</w:t>
      </w:r>
      <w:r>
        <w:rPr>
          <w:rFonts w:cs="Arial"/>
        </w:rPr>
        <w:t>⁰</w:t>
      </w:r>
      <w:r>
        <w:t>F, at the expense of slightly lower hardness.  The other extreme of the range, 2250-2275</w:t>
      </w:r>
      <w:r>
        <w:rPr>
          <w:rFonts w:cs="Arial"/>
        </w:rPr>
        <w:t>⁰</w:t>
      </w:r>
      <w:r>
        <w:t>F, gives maximum red hardness and cutting ability with somewhat decreased toughness.  Lathe and similar single point cutting tools may be safely treated in the 2250-2275</w:t>
      </w:r>
      <w:r>
        <w:rPr>
          <w:rFonts w:cs="Arial"/>
        </w:rPr>
        <w:t>⁰</w:t>
      </w:r>
      <w:r>
        <w:t>F range for best performance.  All other cuttings tools, such as drills, taps, countersinks, cutters, reamers and so on, should be hardened at 2175-2225</w:t>
      </w:r>
      <w:r>
        <w:rPr>
          <w:rFonts w:cs="Arial"/>
        </w:rPr>
        <w:t>⁰</w:t>
      </w:r>
      <w:r>
        <w:t>F.  Punches, dies and other tools subject to shock should be hardened at 2125-2175</w:t>
      </w:r>
      <w:r>
        <w:rPr>
          <w:rFonts w:cs="Arial"/>
        </w:rPr>
        <w:t>⁰</w:t>
      </w:r>
      <w:r>
        <w:t>F.</w:t>
      </w:r>
    </w:p>
    <w:p w14:paraId="476D1ED8" w14:textId="0F80D4CB" w:rsidR="008841CB" w:rsidRDefault="008841CB" w:rsidP="00FA2436">
      <w:r>
        <w:t>Holding time in the high temperature range should only be sufficient for the steel to reach the desired temperature throughout and soaking at temperature thereafter should be brief.  With salt bath hardening, a temperature 25</w:t>
      </w:r>
      <w:r>
        <w:rPr>
          <w:rFonts w:cs="Arial"/>
        </w:rPr>
        <w:t>⁰</w:t>
      </w:r>
      <w:r>
        <w:t>F below that used in protective atmosphere furnaces will give similar results.</w:t>
      </w:r>
    </w:p>
    <w:p w14:paraId="6858CBD6" w14:textId="0FBB5DF3" w:rsidR="00172198" w:rsidRDefault="008841CB" w:rsidP="00FA2436">
      <w:r>
        <w:t xml:space="preserve">Quenching in oil or air is satisfactory for sections not exceeding about 1 inch in maximum thickness.  Larger </w:t>
      </w:r>
      <w:r w:rsidR="00172198">
        <w:t>sections are best given an interrupted or step cooling, either by quenching in oil until just black, or quenching in molten lead or salt at 800-1200</w:t>
      </w:r>
      <w:r w:rsidR="00172198">
        <w:rPr>
          <w:rFonts w:cs="Arial"/>
        </w:rPr>
        <w:t>⁰</w:t>
      </w:r>
      <w:r w:rsidR="00172198">
        <w:t>F.  In either case, after equalizing at this intermediate temperature, the tool may then be cooled in air.  Sections of more that about 1 ½ to 2 inches thick will not attain maximum hardness if cooled in air directly from the hardening temperature.</w:t>
      </w:r>
    </w:p>
    <w:p w14:paraId="220FE375" w14:textId="5695D179" w:rsidR="00172198" w:rsidRDefault="00172198" w:rsidP="00FA2436"/>
    <w:p w14:paraId="4C920438" w14:textId="315F423D" w:rsidR="00172198" w:rsidRPr="000430E3" w:rsidRDefault="00172198" w:rsidP="00FA2436">
      <w:pPr>
        <w:rPr>
          <w:b/>
          <w:bCs/>
        </w:rPr>
      </w:pPr>
      <w:r w:rsidRPr="000430E3">
        <w:rPr>
          <w:b/>
          <w:bCs/>
        </w:rPr>
        <w:t>Hardening Series</w:t>
      </w:r>
    </w:p>
    <w:p w14:paraId="2E7CE99D" w14:textId="7C0D5830" w:rsidR="00172198" w:rsidRDefault="00172198" w:rsidP="00FA2436">
      <w:r>
        <w:t>Annealed bar stock samples 1 inch diameter by 2 inches long were preheated to 1500</w:t>
      </w:r>
      <w:r>
        <w:rPr>
          <w:rFonts w:cs="Arial"/>
        </w:rPr>
        <w:t>⁰</w:t>
      </w:r>
      <w:r>
        <w:t>F</w:t>
      </w:r>
      <w:r w:rsidR="003006FB">
        <w:t>, then heated to the indicated hardening temperatures.  After being cooled in oil or air, the samples were tested for hardness and then fractured.</w:t>
      </w:r>
    </w:p>
    <w:p w14:paraId="26FD2EE3" w14:textId="59FC8145" w:rsidR="003006FB" w:rsidRDefault="003006FB" w:rsidP="00FA2436"/>
    <w:tbl>
      <w:tblPr>
        <w:tblStyle w:val="TableGrid"/>
        <w:tblW w:w="0" w:type="auto"/>
        <w:tblLook w:val="04A0" w:firstRow="1" w:lastRow="0" w:firstColumn="1" w:lastColumn="0" w:noHBand="0" w:noVBand="1"/>
      </w:tblPr>
      <w:tblGrid>
        <w:gridCol w:w="1705"/>
        <w:gridCol w:w="1530"/>
        <w:gridCol w:w="1710"/>
      </w:tblGrid>
      <w:tr w:rsidR="00062CEF" w14:paraId="45A3774C" w14:textId="77777777" w:rsidTr="00062CEF">
        <w:trPr>
          <w:trHeight w:val="288"/>
        </w:trPr>
        <w:tc>
          <w:tcPr>
            <w:tcW w:w="4945" w:type="dxa"/>
            <w:gridSpan w:val="3"/>
          </w:tcPr>
          <w:p w14:paraId="23671BD5" w14:textId="0272905E" w:rsidR="00062CEF" w:rsidRPr="00062CEF" w:rsidRDefault="00062CEF" w:rsidP="00062CEF">
            <w:pPr>
              <w:spacing w:before="120"/>
              <w:jc w:val="center"/>
              <w:rPr>
                <w:b/>
                <w:bCs/>
              </w:rPr>
            </w:pPr>
            <w:r w:rsidRPr="00062CEF">
              <w:rPr>
                <w:b/>
                <w:bCs/>
              </w:rPr>
              <w:t>Oil Quenched</w:t>
            </w:r>
          </w:p>
        </w:tc>
      </w:tr>
      <w:tr w:rsidR="003006FB" w14:paraId="2FFE1BFC" w14:textId="77777777" w:rsidTr="00062CEF">
        <w:trPr>
          <w:trHeight w:val="288"/>
        </w:trPr>
        <w:tc>
          <w:tcPr>
            <w:tcW w:w="1705" w:type="dxa"/>
          </w:tcPr>
          <w:p w14:paraId="2B246BF0" w14:textId="2F4325E4" w:rsidR="003006FB" w:rsidRPr="00062CEF" w:rsidRDefault="00062CEF" w:rsidP="00062CEF">
            <w:pPr>
              <w:spacing w:before="120"/>
              <w:jc w:val="center"/>
              <w:rPr>
                <w:b/>
                <w:bCs/>
              </w:rPr>
            </w:pPr>
            <w:r w:rsidRPr="00062CEF">
              <w:rPr>
                <w:b/>
                <w:bCs/>
              </w:rPr>
              <w:t xml:space="preserve">Hardening Temperature </w:t>
            </w:r>
            <w:r w:rsidRPr="00062CEF">
              <w:rPr>
                <w:rFonts w:cs="Arial"/>
                <w:b/>
                <w:bCs/>
              </w:rPr>
              <w:t>⁰</w:t>
            </w:r>
            <w:r w:rsidRPr="00062CEF">
              <w:rPr>
                <w:b/>
                <w:bCs/>
              </w:rPr>
              <w:t>F</w:t>
            </w:r>
          </w:p>
        </w:tc>
        <w:tc>
          <w:tcPr>
            <w:tcW w:w="1530" w:type="dxa"/>
          </w:tcPr>
          <w:p w14:paraId="2F4D9B0C" w14:textId="52F2B62A" w:rsidR="003006FB" w:rsidRPr="00062CEF" w:rsidRDefault="00062CEF" w:rsidP="00062CEF">
            <w:pPr>
              <w:spacing w:before="120"/>
              <w:jc w:val="center"/>
              <w:rPr>
                <w:b/>
                <w:bCs/>
              </w:rPr>
            </w:pPr>
            <w:r w:rsidRPr="00062CEF">
              <w:rPr>
                <w:b/>
                <w:bCs/>
              </w:rPr>
              <w:t>Hardness Rockwell C</w:t>
            </w:r>
          </w:p>
        </w:tc>
        <w:tc>
          <w:tcPr>
            <w:tcW w:w="1710" w:type="dxa"/>
          </w:tcPr>
          <w:p w14:paraId="4F41F26D" w14:textId="77F6D091" w:rsidR="003006FB" w:rsidRPr="00062CEF" w:rsidRDefault="00062CEF" w:rsidP="00062CEF">
            <w:pPr>
              <w:spacing w:before="120"/>
              <w:jc w:val="center"/>
              <w:rPr>
                <w:b/>
                <w:bCs/>
              </w:rPr>
            </w:pPr>
            <w:r w:rsidRPr="00062CEF">
              <w:rPr>
                <w:b/>
                <w:bCs/>
              </w:rPr>
              <w:t>Shepherd Fracture Rating</w:t>
            </w:r>
          </w:p>
        </w:tc>
      </w:tr>
      <w:tr w:rsidR="003006FB" w14:paraId="525FBDD5" w14:textId="77777777" w:rsidTr="00062CEF">
        <w:trPr>
          <w:trHeight w:val="288"/>
        </w:trPr>
        <w:tc>
          <w:tcPr>
            <w:tcW w:w="1705" w:type="dxa"/>
          </w:tcPr>
          <w:p w14:paraId="42846AF6" w14:textId="52221C9F" w:rsidR="003006FB" w:rsidRDefault="00062CEF" w:rsidP="00062CEF">
            <w:pPr>
              <w:spacing w:before="120"/>
              <w:jc w:val="center"/>
            </w:pPr>
            <w:r>
              <w:t>2050</w:t>
            </w:r>
          </w:p>
        </w:tc>
        <w:tc>
          <w:tcPr>
            <w:tcW w:w="1530" w:type="dxa"/>
          </w:tcPr>
          <w:p w14:paraId="6D084617" w14:textId="715048D2" w:rsidR="003006FB" w:rsidRDefault="00062CEF" w:rsidP="00062CEF">
            <w:pPr>
              <w:spacing w:before="120"/>
              <w:jc w:val="center"/>
            </w:pPr>
            <w:r>
              <w:t>65.0-65.5</w:t>
            </w:r>
          </w:p>
        </w:tc>
        <w:tc>
          <w:tcPr>
            <w:tcW w:w="1710" w:type="dxa"/>
          </w:tcPr>
          <w:p w14:paraId="7175E1AE" w14:textId="04D74051" w:rsidR="003006FB" w:rsidRDefault="00062CEF" w:rsidP="00062CEF">
            <w:pPr>
              <w:spacing w:before="120"/>
              <w:jc w:val="center"/>
            </w:pPr>
            <w:r>
              <w:t>9 ½</w:t>
            </w:r>
          </w:p>
        </w:tc>
      </w:tr>
      <w:tr w:rsidR="003006FB" w14:paraId="3723C801" w14:textId="77777777" w:rsidTr="00062CEF">
        <w:trPr>
          <w:trHeight w:val="288"/>
        </w:trPr>
        <w:tc>
          <w:tcPr>
            <w:tcW w:w="1705" w:type="dxa"/>
          </w:tcPr>
          <w:p w14:paraId="3E026454" w14:textId="073B00B8" w:rsidR="003006FB" w:rsidRDefault="00062CEF" w:rsidP="00062CEF">
            <w:pPr>
              <w:spacing w:before="120"/>
              <w:jc w:val="center"/>
            </w:pPr>
            <w:r>
              <w:t>2100</w:t>
            </w:r>
          </w:p>
        </w:tc>
        <w:tc>
          <w:tcPr>
            <w:tcW w:w="1530" w:type="dxa"/>
          </w:tcPr>
          <w:p w14:paraId="7CCFBD15" w14:textId="77BCC63C" w:rsidR="003006FB" w:rsidRDefault="00062CEF" w:rsidP="00062CEF">
            <w:pPr>
              <w:spacing w:before="120"/>
              <w:jc w:val="center"/>
            </w:pPr>
            <w:r>
              <w:t>65.0-66.0</w:t>
            </w:r>
          </w:p>
        </w:tc>
        <w:tc>
          <w:tcPr>
            <w:tcW w:w="1710" w:type="dxa"/>
          </w:tcPr>
          <w:p w14:paraId="4895D546" w14:textId="4EEA1333" w:rsidR="003006FB" w:rsidRDefault="00062CEF" w:rsidP="00062CEF">
            <w:pPr>
              <w:spacing w:before="120"/>
              <w:jc w:val="center"/>
            </w:pPr>
            <w:r>
              <w:t>9 ½</w:t>
            </w:r>
          </w:p>
        </w:tc>
      </w:tr>
      <w:tr w:rsidR="003006FB" w14:paraId="16B50D64" w14:textId="77777777" w:rsidTr="00062CEF">
        <w:trPr>
          <w:trHeight w:val="288"/>
        </w:trPr>
        <w:tc>
          <w:tcPr>
            <w:tcW w:w="1705" w:type="dxa"/>
          </w:tcPr>
          <w:p w14:paraId="72BCA594" w14:textId="1004E01C" w:rsidR="003006FB" w:rsidRDefault="00062CEF" w:rsidP="00062CEF">
            <w:pPr>
              <w:spacing w:before="120"/>
              <w:jc w:val="center"/>
            </w:pPr>
            <w:r>
              <w:t>2150</w:t>
            </w:r>
          </w:p>
        </w:tc>
        <w:tc>
          <w:tcPr>
            <w:tcW w:w="1530" w:type="dxa"/>
          </w:tcPr>
          <w:p w14:paraId="4A290917" w14:textId="797CE6F3" w:rsidR="003006FB" w:rsidRDefault="00062CEF" w:rsidP="00062CEF">
            <w:pPr>
              <w:spacing w:before="120"/>
              <w:jc w:val="center"/>
            </w:pPr>
            <w:r>
              <w:t>65.0-66.0</w:t>
            </w:r>
          </w:p>
        </w:tc>
        <w:tc>
          <w:tcPr>
            <w:tcW w:w="1710" w:type="dxa"/>
          </w:tcPr>
          <w:p w14:paraId="234E879B" w14:textId="30851740" w:rsidR="003006FB" w:rsidRDefault="00062CEF" w:rsidP="00062CEF">
            <w:pPr>
              <w:spacing w:before="120"/>
              <w:jc w:val="center"/>
            </w:pPr>
            <w:r>
              <w:t>9 ½</w:t>
            </w:r>
          </w:p>
        </w:tc>
      </w:tr>
      <w:tr w:rsidR="003006FB" w14:paraId="6E93A444" w14:textId="77777777" w:rsidTr="00062CEF">
        <w:trPr>
          <w:trHeight w:val="288"/>
        </w:trPr>
        <w:tc>
          <w:tcPr>
            <w:tcW w:w="1705" w:type="dxa"/>
          </w:tcPr>
          <w:p w14:paraId="3ACF8521" w14:textId="6A4DAC44" w:rsidR="003006FB" w:rsidRDefault="00062CEF" w:rsidP="00062CEF">
            <w:pPr>
              <w:spacing w:before="120"/>
              <w:jc w:val="center"/>
            </w:pPr>
            <w:r>
              <w:t>2200</w:t>
            </w:r>
          </w:p>
        </w:tc>
        <w:tc>
          <w:tcPr>
            <w:tcW w:w="1530" w:type="dxa"/>
          </w:tcPr>
          <w:p w14:paraId="4633079F" w14:textId="4685ACD0" w:rsidR="003006FB" w:rsidRDefault="00062CEF" w:rsidP="00062CEF">
            <w:pPr>
              <w:spacing w:before="120"/>
              <w:jc w:val="center"/>
            </w:pPr>
            <w:r>
              <w:t>64.5-65.5</w:t>
            </w:r>
          </w:p>
        </w:tc>
        <w:tc>
          <w:tcPr>
            <w:tcW w:w="1710" w:type="dxa"/>
          </w:tcPr>
          <w:p w14:paraId="2EB8474A" w14:textId="7502ABC9" w:rsidR="003006FB" w:rsidRDefault="00062CEF" w:rsidP="00062CEF">
            <w:pPr>
              <w:spacing w:before="120"/>
              <w:jc w:val="center"/>
            </w:pPr>
            <w:r>
              <w:t>9 ¼</w:t>
            </w:r>
          </w:p>
        </w:tc>
      </w:tr>
      <w:tr w:rsidR="003006FB" w14:paraId="56B71720" w14:textId="77777777" w:rsidTr="00062CEF">
        <w:trPr>
          <w:trHeight w:val="288"/>
        </w:trPr>
        <w:tc>
          <w:tcPr>
            <w:tcW w:w="1705" w:type="dxa"/>
          </w:tcPr>
          <w:p w14:paraId="3111C25C" w14:textId="61EE407B" w:rsidR="003006FB" w:rsidRDefault="00062CEF" w:rsidP="00062CEF">
            <w:pPr>
              <w:spacing w:before="120"/>
              <w:jc w:val="center"/>
            </w:pPr>
            <w:r>
              <w:t>2250</w:t>
            </w:r>
          </w:p>
        </w:tc>
        <w:tc>
          <w:tcPr>
            <w:tcW w:w="1530" w:type="dxa"/>
          </w:tcPr>
          <w:p w14:paraId="115A0E6E" w14:textId="2FE25249" w:rsidR="003006FB" w:rsidRDefault="00062CEF" w:rsidP="00062CEF">
            <w:pPr>
              <w:spacing w:before="120"/>
              <w:jc w:val="center"/>
            </w:pPr>
            <w:r>
              <w:t>64.5-65.0</w:t>
            </w:r>
          </w:p>
        </w:tc>
        <w:tc>
          <w:tcPr>
            <w:tcW w:w="1710" w:type="dxa"/>
          </w:tcPr>
          <w:p w14:paraId="46E83E9E" w14:textId="02853F33" w:rsidR="003006FB" w:rsidRDefault="00062CEF" w:rsidP="00062CEF">
            <w:pPr>
              <w:spacing w:before="120"/>
              <w:jc w:val="center"/>
            </w:pPr>
            <w:r>
              <w:t>9</w:t>
            </w:r>
          </w:p>
        </w:tc>
      </w:tr>
      <w:tr w:rsidR="003006FB" w14:paraId="7B28B534" w14:textId="77777777" w:rsidTr="00062CEF">
        <w:trPr>
          <w:trHeight w:val="288"/>
        </w:trPr>
        <w:tc>
          <w:tcPr>
            <w:tcW w:w="1705" w:type="dxa"/>
          </w:tcPr>
          <w:p w14:paraId="48FF1DC3" w14:textId="709FEF43" w:rsidR="003006FB" w:rsidRDefault="00062CEF" w:rsidP="00062CEF">
            <w:pPr>
              <w:spacing w:before="120"/>
              <w:jc w:val="center"/>
            </w:pPr>
            <w:r>
              <w:t>2300</w:t>
            </w:r>
          </w:p>
        </w:tc>
        <w:tc>
          <w:tcPr>
            <w:tcW w:w="1530" w:type="dxa"/>
          </w:tcPr>
          <w:p w14:paraId="7E259455" w14:textId="12B06E02" w:rsidR="003006FB" w:rsidRDefault="00062CEF" w:rsidP="00062CEF">
            <w:pPr>
              <w:spacing w:before="120"/>
              <w:jc w:val="center"/>
            </w:pPr>
            <w:r>
              <w:t>64.0-64.5</w:t>
            </w:r>
          </w:p>
        </w:tc>
        <w:tc>
          <w:tcPr>
            <w:tcW w:w="1710" w:type="dxa"/>
          </w:tcPr>
          <w:p w14:paraId="02B88090" w14:textId="7A5E601A" w:rsidR="003006FB" w:rsidRDefault="00062CEF" w:rsidP="00062CEF">
            <w:pPr>
              <w:spacing w:before="120"/>
              <w:jc w:val="center"/>
            </w:pPr>
            <w:r>
              <w:t>8 ½</w:t>
            </w:r>
          </w:p>
        </w:tc>
      </w:tr>
      <w:tr w:rsidR="003006FB" w14:paraId="2428736D" w14:textId="77777777" w:rsidTr="00062CEF">
        <w:trPr>
          <w:trHeight w:val="288"/>
        </w:trPr>
        <w:tc>
          <w:tcPr>
            <w:tcW w:w="1705" w:type="dxa"/>
          </w:tcPr>
          <w:p w14:paraId="63BC8221" w14:textId="025AEF25" w:rsidR="003006FB" w:rsidRDefault="00062CEF" w:rsidP="00062CEF">
            <w:pPr>
              <w:spacing w:before="120"/>
              <w:jc w:val="center"/>
            </w:pPr>
            <w:r>
              <w:t>2350</w:t>
            </w:r>
          </w:p>
        </w:tc>
        <w:tc>
          <w:tcPr>
            <w:tcW w:w="1530" w:type="dxa"/>
          </w:tcPr>
          <w:p w14:paraId="51D90EAB" w14:textId="49D63FFD" w:rsidR="003006FB" w:rsidRDefault="00062CEF" w:rsidP="00062CEF">
            <w:pPr>
              <w:spacing w:before="120"/>
              <w:jc w:val="center"/>
            </w:pPr>
            <w:r>
              <w:t>63.0-63.5</w:t>
            </w:r>
          </w:p>
        </w:tc>
        <w:tc>
          <w:tcPr>
            <w:tcW w:w="1710" w:type="dxa"/>
          </w:tcPr>
          <w:p w14:paraId="0F14986E" w14:textId="1199CFB1" w:rsidR="003006FB" w:rsidRDefault="00062CEF" w:rsidP="00062CEF">
            <w:pPr>
              <w:spacing w:before="120"/>
              <w:jc w:val="center"/>
            </w:pPr>
            <w:r>
              <w:t>7</w:t>
            </w:r>
          </w:p>
        </w:tc>
      </w:tr>
    </w:tbl>
    <w:p w14:paraId="46F826DB" w14:textId="79F32A24" w:rsidR="003006FB" w:rsidRDefault="003006FB" w:rsidP="00062CEF">
      <w:pPr>
        <w:spacing w:before="120"/>
        <w:jc w:val="center"/>
      </w:pPr>
    </w:p>
    <w:p w14:paraId="3680502F" w14:textId="77777777" w:rsidR="008841CB" w:rsidRDefault="008841CB" w:rsidP="00FA2436"/>
    <w:tbl>
      <w:tblPr>
        <w:tblStyle w:val="TableGrid"/>
        <w:tblW w:w="0" w:type="auto"/>
        <w:tblLook w:val="04A0" w:firstRow="1" w:lastRow="0" w:firstColumn="1" w:lastColumn="0" w:noHBand="0" w:noVBand="1"/>
      </w:tblPr>
      <w:tblGrid>
        <w:gridCol w:w="1705"/>
        <w:gridCol w:w="1530"/>
        <w:gridCol w:w="1710"/>
      </w:tblGrid>
      <w:tr w:rsidR="00511842" w14:paraId="19F20096" w14:textId="77777777" w:rsidTr="00B807A5">
        <w:trPr>
          <w:trHeight w:val="288"/>
        </w:trPr>
        <w:tc>
          <w:tcPr>
            <w:tcW w:w="4945" w:type="dxa"/>
            <w:gridSpan w:val="3"/>
          </w:tcPr>
          <w:p w14:paraId="3ABDAF11" w14:textId="5394BCF4" w:rsidR="00511842" w:rsidRPr="00062CEF" w:rsidRDefault="00511842" w:rsidP="00B807A5">
            <w:pPr>
              <w:spacing w:before="120"/>
              <w:jc w:val="center"/>
              <w:rPr>
                <w:b/>
                <w:bCs/>
              </w:rPr>
            </w:pPr>
            <w:r>
              <w:rPr>
                <w:b/>
                <w:bCs/>
              </w:rPr>
              <w:t>Air</w:t>
            </w:r>
            <w:r w:rsidRPr="00062CEF">
              <w:rPr>
                <w:b/>
                <w:bCs/>
              </w:rPr>
              <w:t xml:space="preserve"> Quenched</w:t>
            </w:r>
          </w:p>
        </w:tc>
      </w:tr>
      <w:tr w:rsidR="00511842" w14:paraId="4A0BEEF9" w14:textId="77777777" w:rsidTr="00B807A5">
        <w:trPr>
          <w:trHeight w:val="288"/>
        </w:trPr>
        <w:tc>
          <w:tcPr>
            <w:tcW w:w="1705" w:type="dxa"/>
          </w:tcPr>
          <w:p w14:paraId="740D330F" w14:textId="77777777" w:rsidR="00511842" w:rsidRPr="00062CEF" w:rsidRDefault="00511842" w:rsidP="00B807A5">
            <w:pPr>
              <w:spacing w:before="120"/>
              <w:jc w:val="center"/>
              <w:rPr>
                <w:b/>
                <w:bCs/>
              </w:rPr>
            </w:pPr>
            <w:r w:rsidRPr="00062CEF">
              <w:rPr>
                <w:b/>
                <w:bCs/>
              </w:rPr>
              <w:t xml:space="preserve">Hardening Temperature </w:t>
            </w:r>
            <w:r w:rsidRPr="00062CEF">
              <w:rPr>
                <w:rFonts w:cs="Arial"/>
                <w:b/>
                <w:bCs/>
              </w:rPr>
              <w:t>⁰</w:t>
            </w:r>
            <w:r w:rsidRPr="00062CEF">
              <w:rPr>
                <w:b/>
                <w:bCs/>
              </w:rPr>
              <w:t>F</w:t>
            </w:r>
          </w:p>
        </w:tc>
        <w:tc>
          <w:tcPr>
            <w:tcW w:w="1530" w:type="dxa"/>
          </w:tcPr>
          <w:p w14:paraId="396CCBF9" w14:textId="77777777" w:rsidR="00511842" w:rsidRPr="00062CEF" w:rsidRDefault="00511842" w:rsidP="00B807A5">
            <w:pPr>
              <w:spacing w:before="120"/>
              <w:jc w:val="center"/>
              <w:rPr>
                <w:b/>
                <w:bCs/>
              </w:rPr>
            </w:pPr>
            <w:r w:rsidRPr="00062CEF">
              <w:rPr>
                <w:b/>
                <w:bCs/>
              </w:rPr>
              <w:t>Hardness Rockwell C</w:t>
            </w:r>
          </w:p>
        </w:tc>
        <w:tc>
          <w:tcPr>
            <w:tcW w:w="1710" w:type="dxa"/>
          </w:tcPr>
          <w:p w14:paraId="1DD9DD4F" w14:textId="77777777" w:rsidR="00511842" w:rsidRPr="00062CEF" w:rsidRDefault="00511842" w:rsidP="00B807A5">
            <w:pPr>
              <w:spacing w:before="120"/>
              <w:jc w:val="center"/>
              <w:rPr>
                <w:b/>
                <w:bCs/>
              </w:rPr>
            </w:pPr>
            <w:r w:rsidRPr="00062CEF">
              <w:rPr>
                <w:b/>
                <w:bCs/>
              </w:rPr>
              <w:t>Shepherd Fracture Rating</w:t>
            </w:r>
          </w:p>
        </w:tc>
      </w:tr>
      <w:tr w:rsidR="00511842" w14:paraId="252AEF69" w14:textId="77777777" w:rsidTr="00B807A5">
        <w:trPr>
          <w:trHeight w:val="288"/>
        </w:trPr>
        <w:tc>
          <w:tcPr>
            <w:tcW w:w="1705" w:type="dxa"/>
          </w:tcPr>
          <w:p w14:paraId="46DBA70A" w14:textId="77777777" w:rsidR="00511842" w:rsidRDefault="00511842" w:rsidP="00B807A5">
            <w:pPr>
              <w:spacing w:before="120"/>
              <w:jc w:val="center"/>
            </w:pPr>
            <w:r>
              <w:t>2050</w:t>
            </w:r>
          </w:p>
        </w:tc>
        <w:tc>
          <w:tcPr>
            <w:tcW w:w="1530" w:type="dxa"/>
          </w:tcPr>
          <w:p w14:paraId="73A409A4" w14:textId="3C3E90AE" w:rsidR="00511842" w:rsidRDefault="00511842" w:rsidP="00B807A5">
            <w:pPr>
              <w:spacing w:before="120"/>
              <w:jc w:val="center"/>
            </w:pPr>
            <w:r>
              <w:t>63.5-64.0</w:t>
            </w:r>
          </w:p>
        </w:tc>
        <w:tc>
          <w:tcPr>
            <w:tcW w:w="1710" w:type="dxa"/>
          </w:tcPr>
          <w:p w14:paraId="7712BEB4" w14:textId="77777777" w:rsidR="00511842" w:rsidRDefault="00511842" w:rsidP="00B807A5">
            <w:pPr>
              <w:spacing w:before="120"/>
              <w:jc w:val="center"/>
            </w:pPr>
            <w:r>
              <w:t>9 ½</w:t>
            </w:r>
          </w:p>
        </w:tc>
      </w:tr>
      <w:tr w:rsidR="00511842" w14:paraId="2FE17A09" w14:textId="77777777" w:rsidTr="00B807A5">
        <w:trPr>
          <w:trHeight w:val="288"/>
        </w:trPr>
        <w:tc>
          <w:tcPr>
            <w:tcW w:w="1705" w:type="dxa"/>
          </w:tcPr>
          <w:p w14:paraId="7B2F57E6" w14:textId="77777777" w:rsidR="00511842" w:rsidRDefault="00511842" w:rsidP="00B807A5">
            <w:pPr>
              <w:spacing w:before="120"/>
              <w:jc w:val="center"/>
            </w:pPr>
            <w:r>
              <w:t>2100</w:t>
            </w:r>
          </w:p>
        </w:tc>
        <w:tc>
          <w:tcPr>
            <w:tcW w:w="1530" w:type="dxa"/>
          </w:tcPr>
          <w:p w14:paraId="624BFAB4" w14:textId="1A4F1E3D" w:rsidR="00511842" w:rsidRDefault="00511842" w:rsidP="00B807A5">
            <w:pPr>
              <w:spacing w:before="120"/>
              <w:jc w:val="center"/>
            </w:pPr>
            <w:r>
              <w:t>64.5-65.0</w:t>
            </w:r>
          </w:p>
        </w:tc>
        <w:tc>
          <w:tcPr>
            <w:tcW w:w="1710" w:type="dxa"/>
          </w:tcPr>
          <w:p w14:paraId="17DDB7D1" w14:textId="77777777" w:rsidR="00511842" w:rsidRDefault="00511842" w:rsidP="00B807A5">
            <w:pPr>
              <w:spacing w:before="120"/>
              <w:jc w:val="center"/>
            </w:pPr>
            <w:r>
              <w:t>9 ½</w:t>
            </w:r>
          </w:p>
        </w:tc>
      </w:tr>
      <w:tr w:rsidR="00511842" w14:paraId="2710116D" w14:textId="77777777" w:rsidTr="00B807A5">
        <w:trPr>
          <w:trHeight w:val="288"/>
        </w:trPr>
        <w:tc>
          <w:tcPr>
            <w:tcW w:w="1705" w:type="dxa"/>
          </w:tcPr>
          <w:p w14:paraId="78136C14" w14:textId="77777777" w:rsidR="00511842" w:rsidRDefault="00511842" w:rsidP="00B807A5">
            <w:pPr>
              <w:spacing w:before="120"/>
              <w:jc w:val="center"/>
            </w:pPr>
            <w:r>
              <w:t>2150</w:t>
            </w:r>
          </w:p>
        </w:tc>
        <w:tc>
          <w:tcPr>
            <w:tcW w:w="1530" w:type="dxa"/>
          </w:tcPr>
          <w:p w14:paraId="1C26400B" w14:textId="33EFD0B6" w:rsidR="00511842" w:rsidRDefault="00511842" w:rsidP="00B807A5">
            <w:pPr>
              <w:spacing w:before="120"/>
              <w:jc w:val="center"/>
            </w:pPr>
            <w:r>
              <w:t>64.0-65.0</w:t>
            </w:r>
          </w:p>
        </w:tc>
        <w:tc>
          <w:tcPr>
            <w:tcW w:w="1710" w:type="dxa"/>
          </w:tcPr>
          <w:p w14:paraId="02739461" w14:textId="77777777" w:rsidR="00511842" w:rsidRDefault="00511842" w:rsidP="00B807A5">
            <w:pPr>
              <w:spacing w:before="120"/>
              <w:jc w:val="center"/>
            </w:pPr>
            <w:r>
              <w:t>9 ½</w:t>
            </w:r>
          </w:p>
        </w:tc>
      </w:tr>
      <w:tr w:rsidR="00511842" w14:paraId="139B1CF9" w14:textId="77777777" w:rsidTr="00B807A5">
        <w:trPr>
          <w:trHeight w:val="288"/>
        </w:trPr>
        <w:tc>
          <w:tcPr>
            <w:tcW w:w="1705" w:type="dxa"/>
          </w:tcPr>
          <w:p w14:paraId="2E794151" w14:textId="77777777" w:rsidR="00511842" w:rsidRDefault="00511842" w:rsidP="00B807A5">
            <w:pPr>
              <w:spacing w:before="120"/>
              <w:jc w:val="center"/>
            </w:pPr>
            <w:r>
              <w:t>2200</w:t>
            </w:r>
          </w:p>
        </w:tc>
        <w:tc>
          <w:tcPr>
            <w:tcW w:w="1530" w:type="dxa"/>
          </w:tcPr>
          <w:p w14:paraId="7CCB8C2D" w14:textId="14832E59" w:rsidR="00511842" w:rsidRDefault="00511842" w:rsidP="00B807A5">
            <w:pPr>
              <w:spacing w:before="120"/>
              <w:jc w:val="center"/>
            </w:pPr>
            <w:r>
              <w:t>64.0-64.5</w:t>
            </w:r>
          </w:p>
        </w:tc>
        <w:tc>
          <w:tcPr>
            <w:tcW w:w="1710" w:type="dxa"/>
          </w:tcPr>
          <w:p w14:paraId="27CD8CB1" w14:textId="77777777" w:rsidR="00511842" w:rsidRDefault="00511842" w:rsidP="00B807A5">
            <w:pPr>
              <w:spacing w:before="120"/>
              <w:jc w:val="center"/>
            </w:pPr>
            <w:r>
              <w:t>9 ¼</w:t>
            </w:r>
          </w:p>
        </w:tc>
      </w:tr>
      <w:tr w:rsidR="00511842" w14:paraId="4864EA96" w14:textId="77777777" w:rsidTr="00B807A5">
        <w:trPr>
          <w:trHeight w:val="288"/>
        </w:trPr>
        <w:tc>
          <w:tcPr>
            <w:tcW w:w="1705" w:type="dxa"/>
          </w:tcPr>
          <w:p w14:paraId="40B3388D" w14:textId="77777777" w:rsidR="00511842" w:rsidRDefault="00511842" w:rsidP="00B807A5">
            <w:pPr>
              <w:spacing w:before="120"/>
              <w:jc w:val="center"/>
            </w:pPr>
            <w:r>
              <w:t>2250</w:t>
            </w:r>
          </w:p>
        </w:tc>
        <w:tc>
          <w:tcPr>
            <w:tcW w:w="1530" w:type="dxa"/>
          </w:tcPr>
          <w:p w14:paraId="368D46A0" w14:textId="41695414" w:rsidR="00511842" w:rsidRDefault="00511842" w:rsidP="00B807A5">
            <w:pPr>
              <w:spacing w:before="120"/>
              <w:jc w:val="center"/>
            </w:pPr>
            <w:r>
              <w:t>63.5-64.0</w:t>
            </w:r>
          </w:p>
        </w:tc>
        <w:tc>
          <w:tcPr>
            <w:tcW w:w="1710" w:type="dxa"/>
          </w:tcPr>
          <w:p w14:paraId="64DB33F3" w14:textId="77777777" w:rsidR="00511842" w:rsidRDefault="00511842" w:rsidP="00B807A5">
            <w:pPr>
              <w:spacing w:before="120"/>
              <w:jc w:val="center"/>
            </w:pPr>
            <w:r>
              <w:t>9</w:t>
            </w:r>
          </w:p>
        </w:tc>
      </w:tr>
      <w:tr w:rsidR="00511842" w14:paraId="6AF88B2A" w14:textId="77777777" w:rsidTr="00B807A5">
        <w:trPr>
          <w:trHeight w:val="288"/>
        </w:trPr>
        <w:tc>
          <w:tcPr>
            <w:tcW w:w="1705" w:type="dxa"/>
          </w:tcPr>
          <w:p w14:paraId="62885940" w14:textId="77777777" w:rsidR="00511842" w:rsidRDefault="00511842" w:rsidP="00B807A5">
            <w:pPr>
              <w:spacing w:before="120"/>
              <w:jc w:val="center"/>
            </w:pPr>
            <w:r>
              <w:t>2300</w:t>
            </w:r>
          </w:p>
        </w:tc>
        <w:tc>
          <w:tcPr>
            <w:tcW w:w="1530" w:type="dxa"/>
          </w:tcPr>
          <w:p w14:paraId="23D4E782" w14:textId="3632B711" w:rsidR="00511842" w:rsidRDefault="00511842" w:rsidP="00B807A5">
            <w:pPr>
              <w:spacing w:before="120"/>
              <w:jc w:val="center"/>
            </w:pPr>
            <w:r>
              <w:t>63.0-64.0</w:t>
            </w:r>
          </w:p>
        </w:tc>
        <w:tc>
          <w:tcPr>
            <w:tcW w:w="1710" w:type="dxa"/>
          </w:tcPr>
          <w:p w14:paraId="39C23859" w14:textId="77777777" w:rsidR="00511842" w:rsidRDefault="00511842" w:rsidP="00B807A5">
            <w:pPr>
              <w:spacing w:before="120"/>
              <w:jc w:val="center"/>
            </w:pPr>
            <w:r>
              <w:t>8 ½</w:t>
            </w:r>
          </w:p>
        </w:tc>
      </w:tr>
      <w:tr w:rsidR="00511842" w14:paraId="1533A950" w14:textId="77777777" w:rsidTr="00B807A5">
        <w:trPr>
          <w:trHeight w:val="288"/>
        </w:trPr>
        <w:tc>
          <w:tcPr>
            <w:tcW w:w="1705" w:type="dxa"/>
          </w:tcPr>
          <w:p w14:paraId="5BFFCC7B" w14:textId="77777777" w:rsidR="00511842" w:rsidRDefault="00511842" w:rsidP="00B807A5">
            <w:pPr>
              <w:spacing w:before="120"/>
              <w:jc w:val="center"/>
            </w:pPr>
            <w:r>
              <w:t>2350</w:t>
            </w:r>
          </w:p>
        </w:tc>
        <w:tc>
          <w:tcPr>
            <w:tcW w:w="1530" w:type="dxa"/>
          </w:tcPr>
          <w:p w14:paraId="7F547F32" w14:textId="46E2830A" w:rsidR="00511842" w:rsidRDefault="00511842" w:rsidP="00B807A5">
            <w:pPr>
              <w:spacing w:before="120"/>
              <w:jc w:val="center"/>
            </w:pPr>
            <w:r>
              <w:t>62.5</w:t>
            </w:r>
          </w:p>
        </w:tc>
        <w:tc>
          <w:tcPr>
            <w:tcW w:w="1710" w:type="dxa"/>
          </w:tcPr>
          <w:p w14:paraId="67A08C4F" w14:textId="77777777" w:rsidR="00511842" w:rsidRDefault="00511842" w:rsidP="00B807A5">
            <w:pPr>
              <w:spacing w:before="120"/>
              <w:jc w:val="center"/>
            </w:pPr>
            <w:r>
              <w:t>7</w:t>
            </w:r>
          </w:p>
        </w:tc>
      </w:tr>
    </w:tbl>
    <w:p w14:paraId="5DE8EA7D" w14:textId="7AC9DEC9" w:rsidR="00FA2436" w:rsidRDefault="00FA2436"/>
    <w:p w14:paraId="2D74C227" w14:textId="5662D5E4" w:rsidR="00511842" w:rsidRDefault="00511842"/>
    <w:p w14:paraId="28B47567" w14:textId="77777777" w:rsidR="003330CA" w:rsidRDefault="003330CA"/>
    <w:p w14:paraId="556445DA" w14:textId="79DD7A85" w:rsidR="00511842" w:rsidRPr="00DE6379" w:rsidRDefault="00511842">
      <w:pPr>
        <w:rPr>
          <w:b/>
          <w:bCs/>
        </w:rPr>
      </w:pPr>
      <w:r w:rsidRPr="00DE6379">
        <w:rPr>
          <w:b/>
          <w:bCs/>
        </w:rPr>
        <w:t>Tempering</w:t>
      </w:r>
    </w:p>
    <w:p w14:paraId="40B23398" w14:textId="7279B3A7" w:rsidR="00511842" w:rsidRDefault="00511842">
      <w:r>
        <w:t>The most common tempering range for cutting tools of AISI</w:t>
      </w:r>
      <w:r w:rsidR="00CA74E1">
        <w:t xml:space="preserve"> M2 is 1000-1100</w:t>
      </w:r>
      <w:r w:rsidR="00CA74E1">
        <w:rPr>
          <w:rFonts w:cs="Arial"/>
        </w:rPr>
        <w:t>⁰</w:t>
      </w:r>
      <w:r w:rsidR="00CA74E1">
        <w:t>F.  A double temper is desirable for maximum toughness and the usual time for each temper is 1 ½ to 2 hours at temperature.  It is safest to place the tools in the tempering furnace as soon as they have cooled down enough to be touched without discomfort.  Air cool to room temperature after each tempering treatment.</w:t>
      </w:r>
    </w:p>
    <w:p w14:paraId="41EE075A" w14:textId="62E71BDD" w:rsidR="00CA74E1" w:rsidRDefault="00CA74E1">
      <w:r>
        <w:t>Good results have been obtained with tools tempered to the hardness shown in the following table.</w:t>
      </w:r>
    </w:p>
    <w:p w14:paraId="5724E027" w14:textId="3CB8141B" w:rsidR="00CA74E1" w:rsidRDefault="00CA74E1"/>
    <w:tbl>
      <w:tblPr>
        <w:tblStyle w:val="TableGrid"/>
        <w:tblW w:w="0" w:type="auto"/>
        <w:tblLook w:val="04A0" w:firstRow="1" w:lastRow="0" w:firstColumn="1" w:lastColumn="0" w:noHBand="0" w:noVBand="1"/>
      </w:tblPr>
      <w:tblGrid>
        <w:gridCol w:w="2425"/>
        <w:gridCol w:w="2520"/>
      </w:tblGrid>
      <w:tr w:rsidR="00CA74E1" w14:paraId="5DD12CBB" w14:textId="77777777" w:rsidTr="00DE6379">
        <w:trPr>
          <w:trHeight w:val="288"/>
        </w:trPr>
        <w:tc>
          <w:tcPr>
            <w:tcW w:w="2425" w:type="dxa"/>
          </w:tcPr>
          <w:p w14:paraId="6D74F599" w14:textId="5EB66B43" w:rsidR="00CA74E1" w:rsidRPr="00DE6379" w:rsidRDefault="00CA74E1" w:rsidP="00DE6379">
            <w:pPr>
              <w:spacing w:before="120"/>
              <w:jc w:val="center"/>
              <w:rPr>
                <w:b/>
                <w:bCs/>
              </w:rPr>
            </w:pPr>
            <w:r w:rsidRPr="00DE6379">
              <w:rPr>
                <w:b/>
                <w:bCs/>
              </w:rPr>
              <w:t>Tool</w:t>
            </w:r>
          </w:p>
        </w:tc>
        <w:tc>
          <w:tcPr>
            <w:tcW w:w="2520" w:type="dxa"/>
          </w:tcPr>
          <w:p w14:paraId="3AFED8D5" w14:textId="522F488B" w:rsidR="00CA74E1" w:rsidRPr="00DE6379" w:rsidRDefault="00CA74E1" w:rsidP="00DE6379">
            <w:pPr>
              <w:spacing w:before="120"/>
              <w:jc w:val="center"/>
              <w:rPr>
                <w:b/>
                <w:bCs/>
              </w:rPr>
            </w:pPr>
            <w:r w:rsidRPr="00DE6379">
              <w:rPr>
                <w:b/>
                <w:bCs/>
              </w:rPr>
              <w:t>Hardness Rockwell C</w:t>
            </w:r>
          </w:p>
        </w:tc>
      </w:tr>
      <w:tr w:rsidR="00CA74E1" w14:paraId="62AA4115" w14:textId="77777777" w:rsidTr="00DE6379">
        <w:trPr>
          <w:trHeight w:val="288"/>
        </w:trPr>
        <w:tc>
          <w:tcPr>
            <w:tcW w:w="2425" w:type="dxa"/>
          </w:tcPr>
          <w:p w14:paraId="3CADFB78" w14:textId="58EA8FCD" w:rsidR="00CA74E1" w:rsidRDefault="00CA74E1" w:rsidP="00DE6379">
            <w:pPr>
              <w:spacing w:before="120"/>
            </w:pPr>
            <w:r>
              <w:t>Twist Drils</w:t>
            </w:r>
          </w:p>
        </w:tc>
        <w:tc>
          <w:tcPr>
            <w:tcW w:w="2520" w:type="dxa"/>
          </w:tcPr>
          <w:p w14:paraId="7994F5E5" w14:textId="60B5037B" w:rsidR="00CA74E1" w:rsidRDefault="00CA74E1" w:rsidP="00DE6379">
            <w:pPr>
              <w:spacing w:before="120"/>
              <w:jc w:val="center"/>
            </w:pPr>
            <w:r>
              <w:t>63.5-65.5</w:t>
            </w:r>
          </w:p>
        </w:tc>
      </w:tr>
      <w:tr w:rsidR="00CA74E1" w14:paraId="7F4260BB" w14:textId="77777777" w:rsidTr="00DE6379">
        <w:trPr>
          <w:trHeight w:val="288"/>
        </w:trPr>
        <w:tc>
          <w:tcPr>
            <w:tcW w:w="2425" w:type="dxa"/>
          </w:tcPr>
          <w:p w14:paraId="388FBC3D" w14:textId="76D25DA4" w:rsidR="00CA74E1" w:rsidRDefault="00CA74E1" w:rsidP="00DE6379">
            <w:pPr>
              <w:spacing w:before="120"/>
            </w:pPr>
            <w:r>
              <w:t>Finishing Reamers</w:t>
            </w:r>
          </w:p>
        </w:tc>
        <w:tc>
          <w:tcPr>
            <w:tcW w:w="2520" w:type="dxa"/>
          </w:tcPr>
          <w:p w14:paraId="7D35426E" w14:textId="0CC8D813" w:rsidR="00CA74E1" w:rsidRDefault="00CA74E1" w:rsidP="00DE6379">
            <w:pPr>
              <w:spacing w:before="120"/>
              <w:jc w:val="center"/>
            </w:pPr>
            <w:r>
              <w:t>65.0-67.0</w:t>
            </w:r>
          </w:p>
        </w:tc>
      </w:tr>
      <w:tr w:rsidR="00CA74E1" w14:paraId="5A700A30" w14:textId="77777777" w:rsidTr="00DE6379">
        <w:trPr>
          <w:trHeight w:val="288"/>
        </w:trPr>
        <w:tc>
          <w:tcPr>
            <w:tcW w:w="2425" w:type="dxa"/>
          </w:tcPr>
          <w:p w14:paraId="3085DFFE" w14:textId="554F41E6" w:rsidR="00CA74E1" w:rsidRDefault="00CA74E1" w:rsidP="00DE6379">
            <w:pPr>
              <w:spacing w:before="120"/>
            </w:pPr>
            <w:r>
              <w:t>Bridge Reamers</w:t>
            </w:r>
          </w:p>
        </w:tc>
        <w:tc>
          <w:tcPr>
            <w:tcW w:w="2520" w:type="dxa"/>
          </w:tcPr>
          <w:p w14:paraId="1AEEE912" w14:textId="58A2C774" w:rsidR="00CA74E1" w:rsidRDefault="00CA74E1" w:rsidP="00DE6379">
            <w:pPr>
              <w:spacing w:before="120"/>
              <w:jc w:val="center"/>
            </w:pPr>
            <w:r>
              <w:t>63.0-64.0</w:t>
            </w:r>
          </w:p>
        </w:tc>
      </w:tr>
      <w:tr w:rsidR="00CA74E1" w14:paraId="42FD2073" w14:textId="77777777" w:rsidTr="00DE6379">
        <w:trPr>
          <w:trHeight w:val="288"/>
        </w:trPr>
        <w:tc>
          <w:tcPr>
            <w:tcW w:w="2425" w:type="dxa"/>
          </w:tcPr>
          <w:p w14:paraId="1743CB8D" w14:textId="28A534F7" w:rsidR="00CA74E1" w:rsidRDefault="00CA74E1" w:rsidP="00DE6379">
            <w:pPr>
              <w:spacing w:before="120"/>
            </w:pPr>
            <w:r>
              <w:t>Lathe Tools</w:t>
            </w:r>
          </w:p>
        </w:tc>
        <w:tc>
          <w:tcPr>
            <w:tcW w:w="2520" w:type="dxa"/>
          </w:tcPr>
          <w:p w14:paraId="1EE49A38" w14:textId="25826EC5" w:rsidR="00CA74E1" w:rsidRDefault="00CA74E1" w:rsidP="00DE6379">
            <w:pPr>
              <w:spacing w:before="120"/>
              <w:jc w:val="center"/>
            </w:pPr>
            <w:r>
              <w:t>64.0-66.0</w:t>
            </w:r>
          </w:p>
        </w:tc>
      </w:tr>
      <w:tr w:rsidR="00CA74E1" w14:paraId="28E719F0" w14:textId="77777777" w:rsidTr="00DE6379">
        <w:trPr>
          <w:trHeight w:val="288"/>
        </w:trPr>
        <w:tc>
          <w:tcPr>
            <w:tcW w:w="2425" w:type="dxa"/>
          </w:tcPr>
          <w:p w14:paraId="03D2A7E9" w14:textId="28896869" w:rsidR="00CA74E1" w:rsidRDefault="00CA74E1" w:rsidP="00DE6379">
            <w:pPr>
              <w:spacing w:before="120"/>
            </w:pPr>
            <w:r>
              <w:t>Taps</w:t>
            </w:r>
          </w:p>
        </w:tc>
        <w:tc>
          <w:tcPr>
            <w:tcW w:w="2520" w:type="dxa"/>
          </w:tcPr>
          <w:p w14:paraId="438037BD" w14:textId="29227175" w:rsidR="00CA74E1" w:rsidRDefault="00CA74E1" w:rsidP="00DE6379">
            <w:pPr>
              <w:spacing w:before="120"/>
              <w:jc w:val="center"/>
            </w:pPr>
            <w:r>
              <w:t>63.0-65.0</w:t>
            </w:r>
          </w:p>
        </w:tc>
      </w:tr>
      <w:tr w:rsidR="00CA74E1" w14:paraId="73184C66" w14:textId="77777777" w:rsidTr="00DE6379">
        <w:trPr>
          <w:trHeight w:val="288"/>
        </w:trPr>
        <w:tc>
          <w:tcPr>
            <w:tcW w:w="2425" w:type="dxa"/>
          </w:tcPr>
          <w:p w14:paraId="44DAE294" w14:textId="4B92B5C6" w:rsidR="00CA74E1" w:rsidRDefault="00CA74E1" w:rsidP="00DE6379">
            <w:pPr>
              <w:spacing w:before="120"/>
            </w:pPr>
            <w:r>
              <w:t>Millings Cutters</w:t>
            </w:r>
          </w:p>
        </w:tc>
        <w:tc>
          <w:tcPr>
            <w:tcW w:w="2520" w:type="dxa"/>
          </w:tcPr>
          <w:p w14:paraId="1C33322B" w14:textId="32D03CC1" w:rsidR="00CA74E1" w:rsidRDefault="00CA74E1" w:rsidP="00DE6379">
            <w:pPr>
              <w:spacing w:before="120"/>
              <w:jc w:val="center"/>
            </w:pPr>
            <w:r>
              <w:t>64.0-65.0</w:t>
            </w:r>
          </w:p>
        </w:tc>
      </w:tr>
      <w:tr w:rsidR="00CA74E1" w14:paraId="7A57C787" w14:textId="77777777" w:rsidTr="00DE6379">
        <w:trPr>
          <w:trHeight w:val="288"/>
        </w:trPr>
        <w:tc>
          <w:tcPr>
            <w:tcW w:w="2425" w:type="dxa"/>
          </w:tcPr>
          <w:p w14:paraId="0637C86A" w14:textId="75AF59D4" w:rsidR="00CA74E1" w:rsidRDefault="00CA74E1" w:rsidP="00DE6379">
            <w:pPr>
              <w:spacing w:before="120"/>
            </w:pPr>
            <w:r>
              <w:t>Punches</w:t>
            </w:r>
          </w:p>
        </w:tc>
        <w:tc>
          <w:tcPr>
            <w:tcW w:w="2520" w:type="dxa"/>
          </w:tcPr>
          <w:p w14:paraId="25103897" w14:textId="5F47A2BE" w:rsidR="00CA74E1" w:rsidRDefault="00CA74E1" w:rsidP="00DE6379">
            <w:pPr>
              <w:spacing w:before="120"/>
              <w:jc w:val="center"/>
            </w:pPr>
            <w:r>
              <w:t>62.0-64.0</w:t>
            </w:r>
          </w:p>
        </w:tc>
      </w:tr>
      <w:tr w:rsidR="00CA74E1" w14:paraId="6BCD9ABC" w14:textId="77777777" w:rsidTr="00DE6379">
        <w:trPr>
          <w:trHeight w:val="288"/>
        </w:trPr>
        <w:tc>
          <w:tcPr>
            <w:tcW w:w="2425" w:type="dxa"/>
          </w:tcPr>
          <w:p w14:paraId="148E7B9C" w14:textId="4585FFD6" w:rsidR="00CA74E1" w:rsidRDefault="00CA74E1" w:rsidP="00DE6379">
            <w:pPr>
              <w:spacing w:before="120"/>
            </w:pPr>
            <w:r>
              <w:t>Die Inserts</w:t>
            </w:r>
          </w:p>
        </w:tc>
        <w:tc>
          <w:tcPr>
            <w:tcW w:w="2520" w:type="dxa"/>
          </w:tcPr>
          <w:p w14:paraId="3928C300" w14:textId="03CEBEC4" w:rsidR="00CA74E1" w:rsidRDefault="00CA74E1" w:rsidP="00DE6379">
            <w:pPr>
              <w:spacing w:before="120"/>
              <w:jc w:val="center"/>
            </w:pPr>
            <w:r>
              <w:t>62.0-64.0</w:t>
            </w:r>
          </w:p>
        </w:tc>
      </w:tr>
    </w:tbl>
    <w:p w14:paraId="7CE824C6" w14:textId="4DE2EB38" w:rsidR="00CA74E1" w:rsidRDefault="00CA74E1"/>
    <w:sectPr w:rsidR="00CA74E1" w:rsidSect="003330CA">
      <w:pgSz w:w="12240" w:h="15840"/>
      <w:pgMar w:top="1008" w:right="1440"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8D6D93"/>
    <w:multiLevelType w:val="hybridMultilevel"/>
    <w:tmpl w:val="638A0A8E"/>
    <w:lvl w:ilvl="0" w:tplc="713A41E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4AF"/>
    <w:rsid w:val="000430E3"/>
    <w:rsid w:val="00062CEF"/>
    <w:rsid w:val="00172198"/>
    <w:rsid w:val="002634AF"/>
    <w:rsid w:val="003006FB"/>
    <w:rsid w:val="003330CA"/>
    <w:rsid w:val="00511842"/>
    <w:rsid w:val="005E5489"/>
    <w:rsid w:val="008014F8"/>
    <w:rsid w:val="008841CB"/>
    <w:rsid w:val="008E5AD3"/>
    <w:rsid w:val="00AB7352"/>
    <w:rsid w:val="00CA74E1"/>
    <w:rsid w:val="00DE6379"/>
    <w:rsid w:val="00E101B4"/>
    <w:rsid w:val="00FA24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51FB"/>
  <w15:chartTrackingRefBased/>
  <w15:docId w15:val="{4EA4F51D-CD15-4FA5-AB75-869CA48E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436"/>
    <w:pPr>
      <w:ind w:left="720"/>
      <w:contextualSpacing/>
    </w:pPr>
  </w:style>
  <w:style w:type="table" w:styleId="TableGrid">
    <w:name w:val="Table Grid"/>
    <w:basedOn w:val="TableNormal"/>
    <w:uiPriority w:val="39"/>
    <w:rsid w:val="00300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33481C91D4F4F9ABC86A575C9623F" ma:contentTypeVersion="8" ma:contentTypeDescription="Crée un document." ma:contentTypeScope="" ma:versionID="04b707295477e49254eb4b8967cfc33f">
  <xsd:schema xmlns:xsd="http://www.w3.org/2001/XMLSchema" xmlns:xs="http://www.w3.org/2001/XMLSchema" xmlns:p="http://schemas.microsoft.com/office/2006/metadata/properties" xmlns:ns2="e76580a5-2253-4979-a4e0-2a6fe07edb4e" xmlns:ns3="7e683225-de91-432e-987e-95acb9e65713" targetNamespace="http://schemas.microsoft.com/office/2006/metadata/properties" ma:root="true" ma:fieldsID="216b7e1f5f665f0dd582d8be9b635e3c" ns2:_="" ns3:_="">
    <xsd:import namespace="e76580a5-2253-4979-a4e0-2a6fe07edb4e"/>
    <xsd:import namespace="7e683225-de91-432e-987e-95acb9e657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580a5-2253-4979-a4e0-2a6fe07ed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683225-de91-432e-987e-95acb9e65713"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AF3AC6-9D27-4CDF-883A-04FD865BA245}"/>
</file>

<file path=customXml/itemProps2.xml><?xml version="1.0" encoding="utf-8"?>
<ds:datastoreItem xmlns:ds="http://schemas.openxmlformats.org/officeDocument/2006/customXml" ds:itemID="{DFCE2F54-EAFB-48A1-9A52-5E276F885013}"/>
</file>

<file path=customXml/itemProps3.xml><?xml version="1.0" encoding="utf-8"?>
<ds:datastoreItem xmlns:ds="http://schemas.openxmlformats.org/officeDocument/2006/customXml" ds:itemID="{F698DFF2-8720-4585-98AF-C2E2DEAB2911}"/>
</file>

<file path=docProps/app.xml><?xml version="1.0" encoding="utf-8"?>
<Properties xmlns="http://schemas.openxmlformats.org/officeDocument/2006/extended-properties" xmlns:vt="http://schemas.openxmlformats.org/officeDocument/2006/docPropsVTypes">
  <Template>Normal</Template>
  <TotalTime>50</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Rotter</dc:creator>
  <cp:keywords/>
  <dc:description/>
  <cp:lastModifiedBy>Lori Rotter</cp:lastModifiedBy>
  <cp:revision>12</cp:revision>
  <dcterms:created xsi:type="dcterms:W3CDTF">2021-03-29T19:26:00Z</dcterms:created>
  <dcterms:modified xsi:type="dcterms:W3CDTF">2021-03-29T20:57:00Z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0x01010079C33481C91D4F4F9ABC86A575C9623F</vt:lpwstr>
  </property>
</Properties>
</file>